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DC1911" w:rsidTr="00DC1911">
        <w:tc>
          <w:tcPr>
            <w:tcW w:w="5070" w:type="dxa"/>
          </w:tcPr>
          <w:p w:rsidR="00DC1911" w:rsidRDefault="00DC1911">
            <w:bookmarkStart w:id="0" w:name="_GoBack"/>
            <w:bookmarkEnd w:id="0"/>
            <w:r>
              <w:t>Name:</w:t>
            </w:r>
            <w:r>
              <w:tab/>
            </w:r>
          </w:p>
        </w:tc>
        <w:tc>
          <w:tcPr>
            <w:tcW w:w="4172" w:type="dxa"/>
          </w:tcPr>
          <w:p w:rsidR="00DC1911" w:rsidRDefault="00DC1911" w:rsidP="00DC1911">
            <w:r>
              <w:t xml:space="preserve">Department: </w:t>
            </w:r>
          </w:p>
          <w:p w:rsidR="00DC1911" w:rsidRDefault="00DC1911"/>
        </w:tc>
      </w:tr>
      <w:tr w:rsidR="00DC1911" w:rsidTr="00DC1911">
        <w:tc>
          <w:tcPr>
            <w:tcW w:w="5070" w:type="dxa"/>
          </w:tcPr>
          <w:p w:rsidR="00DC1911" w:rsidRDefault="00DC1911" w:rsidP="00DC1911">
            <w:r>
              <w:t>Trust E mail address:</w:t>
            </w:r>
          </w:p>
        </w:tc>
        <w:tc>
          <w:tcPr>
            <w:tcW w:w="4172" w:type="dxa"/>
          </w:tcPr>
          <w:p w:rsidR="00DC1911" w:rsidRDefault="00DC1911" w:rsidP="00DC1911">
            <w:r>
              <w:t>Telephone:</w:t>
            </w:r>
          </w:p>
          <w:p w:rsidR="00DC1911" w:rsidRDefault="00DC1911"/>
        </w:tc>
      </w:tr>
    </w:tbl>
    <w:p w:rsidR="004C76F1" w:rsidRDefault="00DC19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C76F1" w:rsidRPr="00903810" w:rsidRDefault="00DC1911" w:rsidP="00FF0FAD">
      <w:pPr>
        <w:rPr>
          <w:sz w:val="20"/>
          <w:szCs w:val="20"/>
        </w:rPr>
      </w:pPr>
      <w:r w:rsidRPr="00903810">
        <w:rPr>
          <w:sz w:val="20"/>
          <w:szCs w:val="20"/>
        </w:rPr>
        <w:t>Electronic tables of contents (e-</w:t>
      </w:r>
      <w:proofErr w:type="spellStart"/>
      <w:r w:rsidRPr="00903810">
        <w:rPr>
          <w:sz w:val="20"/>
          <w:szCs w:val="20"/>
        </w:rPr>
        <w:t>tocs</w:t>
      </w:r>
      <w:proofErr w:type="spellEnd"/>
      <w:r w:rsidRPr="00903810">
        <w:rPr>
          <w:sz w:val="20"/>
          <w:szCs w:val="20"/>
        </w:rPr>
        <w:t xml:space="preserve">) are supplied by most journal publishers and aggregators free of charge. </w:t>
      </w:r>
      <w:r w:rsidR="00903810">
        <w:rPr>
          <w:sz w:val="20"/>
          <w:szCs w:val="20"/>
        </w:rPr>
        <w:br/>
      </w:r>
      <w:r w:rsidRPr="00903810">
        <w:rPr>
          <w:sz w:val="20"/>
          <w:szCs w:val="20"/>
        </w:rPr>
        <w:t>E-</w:t>
      </w:r>
      <w:proofErr w:type="spellStart"/>
      <w:r w:rsidRPr="00903810">
        <w:rPr>
          <w:sz w:val="20"/>
          <w:szCs w:val="20"/>
        </w:rPr>
        <w:t>tocs</w:t>
      </w:r>
      <w:proofErr w:type="spellEnd"/>
      <w:r w:rsidRPr="00903810">
        <w:rPr>
          <w:sz w:val="20"/>
          <w:szCs w:val="20"/>
        </w:rPr>
        <w:t xml:space="preserve"> from journal publishers will generally contain hyperlinks to articles which link back to the item hosted on the publisher’s or aggregator’s own website. If the Trust has a subscription to the journal you should be able to access the full text article by logging in with your Athens account.   If the article is not available to you,</w:t>
      </w:r>
      <w:r w:rsidR="00FD586F">
        <w:rPr>
          <w:sz w:val="20"/>
          <w:szCs w:val="20"/>
        </w:rPr>
        <w:t xml:space="preserve"> please</w:t>
      </w:r>
      <w:r w:rsidRPr="00903810">
        <w:rPr>
          <w:sz w:val="20"/>
          <w:szCs w:val="20"/>
        </w:rPr>
        <w:t xml:space="preserve"> ask the Library &amp; Knowledge Service to </w:t>
      </w:r>
      <w:r w:rsidR="00FF0FAD">
        <w:rPr>
          <w:sz w:val="20"/>
          <w:szCs w:val="20"/>
        </w:rPr>
        <w:t xml:space="preserve">try and </w:t>
      </w:r>
      <w:r w:rsidRPr="00903810">
        <w:rPr>
          <w:sz w:val="20"/>
          <w:szCs w:val="20"/>
        </w:rPr>
        <w:t>obtain it for you (there may be a small charge).</w:t>
      </w:r>
    </w:p>
    <w:tbl>
      <w:tblPr>
        <w:tblStyle w:val="TableGrid"/>
        <w:tblW w:w="0" w:type="auto"/>
        <w:tblInd w:w="1138" w:type="dxa"/>
        <w:tblLook w:val="04A0" w:firstRow="1" w:lastRow="0" w:firstColumn="1" w:lastColumn="0" w:noHBand="0" w:noVBand="1"/>
      </w:tblPr>
      <w:tblGrid>
        <w:gridCol w:w="5920"/>
        <w:gridCol w:w="851"/>
      </w:tblGrid>
      <w:tr w:rsidR="00DC1911" w:rsidRPr="004C76F1" w:rsidTr="00903810">
        <w:tc>
          <w:tcPr>
            <w:tcW w:w="6771" w:type="dxa"/>
            <w:gridSpan w:val="2"/>
          </w:tcPr>
          <w:p w:rsidR="00DC1911" w:rsidRDefault="00FF0FAD" w:rsidP="00E223D2">
            <w:r>
              <w:rPr>
                <w:b/>
              </w:rPr>
              <w:t>The current list of ETOCS</w:t>
            </w:r>
            <w:r w:rsidR="00DC1911" w:rsidRPr="00DC1911">
              <w:rPr>
                <w:b/>
              </w:rPr>
              <w:t xml:space="preserve"> available</w:t>
            </w:r>
          </w:p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pPr>
              <w:rPr>
                <w:b/>
              </w:rPr>
            </w:pPr>
            <w:r w:rsidRPr="004C76F1">
              <w:rPr>
                <w:b/>
              </w:rPr>
              <w:t>Journal Title</w:t>
            </w:r>
          </w:p>
        </w:tc>
        <w:tc>
          <w:tcPr>
            <w:tcW w:w="851" w:type="dxa"/>
          </w:tcPr>
          <w:p w:rsidR="004C76F1" w:rsidRPr="004C76F1" w:rsidRDefault="004C76F1" w:rsidP="00E223D2">
            <w:r>
              <w:t>Select</w:t>
            </w:r>
          </w:p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Addiction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Arthritis &amp; Rheumatology</w:t>
            </w:r>
            <w:r w:rsidR="004833E2">
              <w:t>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>
              <w:t>BMJ</w:t>
            </w:r>
            <w:r w:rsidR="004833E2">
              <w:t xml:space="preserve"> (BMJ Publishing)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British Journal of Haematology</w:t>
            </w:r>
            <w:r w:rsidR="004833E2">
              <w:t>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CA: A Cancer Journal for Clinicians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Cancer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Diabetes, Obesity and Metabolism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Diabetic Medicine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Drug and Alcohol Review</w:t>
            </w:r>
            <w:r w:rsidR="004833E2">
              <w:t>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European Diabetes Nursing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Head &amp; Neck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Hepatology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International Journal of Cancer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International Journal of Stroke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International Journal of Urological Nursing</w:t>
            </w:r>
            <w:r w:rsidR="004833E2">
              <w:t>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International Journal of Urology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International Wound Journal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Journal of Advanced Nursing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Journal of Diabetes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Journal of Digestive Diseases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Nursing for Women's Health</w:t>
            </w:r>
            <w:r w:rsidR="004833E2">
              <w:t>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Nursing in Critical Care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Nutrition &amp; Dietetics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Obesity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Occupational Therapy International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Oral Diseases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Orthopaedic Surgery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Pain Medicine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Psycho-Oncology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Rehabilitation Nursing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The Journal of Dermatology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RPr="004C76F1" w:rsidTr="00903810">
        <w:tc>
          <w:tcPr>
            <w:tcW w:w="5920" w:type="dxa"/>
          </w:tcPr>
          <w:p w:rsidR="004C76F1" w:rsidRPr="004C76F1" w:rsidRDefault="004C76F1" w:rsidP="00E223D2">
            <w:r w:rsidRPr="004C76F1">
              <w:t>The Prostate</w:t>
            </w:r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4C76F1" w:rsidTr="00903810">
        <w:tc>
          <w:tcPr>
            <w:tcW w:w="5920" w:type="dxa"/>
          </w:tcPr>
          <w:p w:rsidR="004C76F1" w:rsidRDefault="004C76F1" w:rsidP="00E223D2">
            <w:r w:rsidRPr="004C76F1">
              <w:t xml:space="preserve">Ultrasound in Obstetrics &amp; </w:t>
            </w:r>
            <w:proofErr w:type="spellStart"/>
            <w:r w:rsidRPr="004C76F1">
              <w:t>Gynecology</w:t>
            </w:r>
            <w:proofErr w:type="spellEnd"/>
            <w:r w:rsidR="004833E2">
              <w:t xml:space="preserve"> (Wiley)</w:t>
            </w:r>
          </w:p>
        </w:tc>
        <w:tc>
          <w:tcPr>
            <w:tcW w:w="851" w:type="dxa"/>
          </w:tcPr>
          <w:p w:rsidR="004C76F1" w:rsidRPr="004C76F1" w:rsidRDefault="004C76F1" w:rsidP="00E223D2"/>
        </w:tc>
      </w:tr>
      <w:tr w:rsidR="00DC1911" w:rsidTr="00903810">
        <w:trPr>
          <w:trHeight w:val="750"/>
        </w:trPr>
        <w:tc>
          <w:tcPr>
            <w:tcW w:w="6771" w:type="dxa"/>
            <w:gridSpan w:val="2"/>
          </w:tcPr>
          <w:p w:rsidR="00DC1911" w:rsidRDefault="00DC1911" w:rsidP="00DC1911">
            <w:r w:rsidRPr="00BB005C">
              <w:rPr>
                <w:b/>
              </w:rPr>
              <w:lastRenderedPageBreak/>
              <w:t>Other journals of interest</w:t>
            </w:r>
            <w:r>
              <w:t xml:space="preserve"> </w:t>
            </w:r>
            <w:r w:rsidRPr="00D95887">
              <w:rPr>
                <w:sz w:val="16"/>
                <w:szCs w:val="16"/>
              </w:rPr>
              <w:t>(please list</w:t>
            </w:r>
            <w:r w:rsidR="00D95887" w:rsidRPr="00D95887">
              <w:rPr>
                <w:sz w:val="16"/>
                <w:szCs w:val="16"/>
              </w:rPr>
              <w:t>, note we may not have a subscription to some titles</w:t>
            </w:r>
            <w:r w:rsidRPr="00D95887">
              <w:rPr>
                <w:sz w:val="16"/>
                <w:szCs w:val="16"/>
              </w:rPr>
              <w:t>)</w:t>
            </w:r>
            <w:r w:rsidR="00D95887">
              <w:t xml:space="preserve"> </w:t>
            </w:r>
          </w:p>
          <w:p w:rsidR="00DC1911" w:rsidRDefault="00DC1911" w:rsidP="00E223D2"/>
          <w:p w:rsidR="00FF0FAD" w:rsidRDefault="00FF0FAD" w:rsidP="00E223D2"/>
          <w:p w:rsidR="00FF0FAD" w:rsidRDefault="00FF0FAD" w:rsidP="00E223D2"/>
          <w:p w:rsidR="00FF0FAD" w:rsidRDefault="00FF0FAD" w:rsidP="00E223D2"/>
          <w:p w:rsidR="00FF0FAD" w:rsidRDefault="00FF0FAD" w:rsidP="00E223D2"/>
          <w:p w:rsidR="00FF0FAD" w:rsidRDefault="00FF0FAD" w:rsidP="00E223D2"/>
          <w:p w:rsidR="00FF0FAD" w:rsidRDefault="00FF0FAD" w:rsidP="00E223D2"/>
          <w:p w:rsidR="00FF0FAD" w:rsidRDefault="00FF0FAD" w:rsidP="00E223D2"/>
          <w:p w:rsidR="00FF0FAD" w:rsidRDefault="00FF0FAD" w:rsidP="00E223D2"/>
          <w:p w:rsidR="00FF0FAD" w:rsidRDefault="00FF0FAD" w:rsidP="00E223D2"/>
          <w:p w:rsidR="00903810" w:rsidRPr="004C76F1" w:rsidRDefault="00903810" w:rsidP="00E223D2"/>
        </w:tc>
      </w:tr>
    </w:tbl>
    <w:p w:rsidR="004C76F1" w:rsidRDefault="004C76F1" w:rsidP="00DC1911"/>
    <w:p w:rsidR="00FF0FAD" w:rsidRDefault="00FF0FAD" w:rsidP="00DC1911"/>
    <w:p w:rsidR="00FF0FAD" w:rsidRDefault="00FF0FAD" w:rsidP="00DC1911">
      <w:r>
        <w:t>Please return your completed form to:</w:t>
      </w:r>
    </w:p>
    <w:p w:rsidR="00FF0FAD" w:rsidRDefault="00FF0FAD" w:rsidP="00DC1911"/>
    <w:p w:rsidR="00FF0FAD" w:rsidRDefault="00FF0FAD" w:rsidP="00FF0FAD">
      <w:r>
        <w:t>Library &amp; Knowledge Service</w:t>
      </w:r>
      <w:r>
        <w:br/>
        <w:t xml:space="preserve">2nd Floor New </w:t>
      </w:r>
      <w:proofErr w:type="spellStart"/>
      <w:r>
        <w:t>Alderley</w:t>
      </w:r>
      <w:proofErr w:type="spellEnd"/>
      <w:r>
        <w:t xml:space="preserve"> House</w:t>
      </w:r>
      <w:r>
        <w:br/>
        <w:t>Macclesfield DGH</w:t>
      </w:r>
      <w:r>
        <w:br/>
        <w:t>Victoria Road</w:t>
      </w:r>
      <w:r>
        <w:br/>
      </w:r>
      <w:proofErr w:type="gramStart"/>
      <w:r>
        <w:t>Macclesfield  SK10</w:t>
      </w:r>
      <w:proofErr w:type="gramEnd"/>
      <w:r>
        <w:t xml:space="preserve"> 3BL</w:t>
      </w:r>
    </w:p>
    <w:p w:rsidR="00FF0FAD" w:rsidRDefault="00FF0FAD" w:rsidP="00FF0FAD">
      <w:r>
        <w:t xml:space="preserve">OR </w:t>
      </w:r>
    </w:p>
    <w:p w:rsidR="00FF0FAD" w:rsidRDefault="00FF0FAD" w:rsidP="00FF0FAD">
      <w:r>
        <w:t>EMAIL: ECN-TR.STAFFLIBRARY@NHS.NET</w:t>
      </w:r>
    </w:p>
    <w:p w:rsidR="00FF0FAD" w:rsidRDefault="00FF0FAD" w:rsidP="00DC1911"/>
    <w:sectPr w:rsidR="00FF0FAD" w:rsidSect="00FF0FAD">
      <w:headerReference w:type="default" r:id="rId7"/>
      <w:footerReference w:type="default" r:id="rId8"/>
      <w:pgSz w:w="11906" w:h="16838"/>
      <w:pgMar w:top="1049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F1" w:rsidRDefault="004C76F1" w:rsidP="004C76F1">
      <w:pPr>
        <w:spacing w:after="0" w:line="240" w:lineRule="auto"/>
      </w:pPr>
      <w:r>
        <w:separator/>
      </w:r>
    </w:p>
  </w:endnote>
  <w:endnote w:type="continuationSeparator" w:id="0">
    <w:p w:rsidR="004C76F1" w:rsidRDefault="004C76F1" w:rsidP="004C7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376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0FAD" w:rsidRDefault="00FF0F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A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3215" w:rsidRDefault="003B3A05">
    <w:pPr>
      <w:pStyle w:val="Footer"/>
    </w:pPr>
    <w:r>
      <w:fldChar w:fldCharType="begin"/>
    </w:r>
    <w:r>
      <w:instrText xml:space="preserve"> FILENAME  \* Lower \p  \* MERGEFORMAT </w:instrText>
    </w:r>
    <w:r>
      <w:fldChar w:fldCharType="separate"/>
    </w:r>
    <w:r>
      <w:rPr>
        <w:noProof/>
      </w:rPr>
      <w:t>s:\library\11 services\etocs\etoc sign up form.docx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F1" w:rsidRDefault="004C76F1" w:rsidP="004C76F1">
      <w:pPr>
        <w:spacing w:after="0" w:line="240" w:lineRule="auto"/>
      </w:pPr>
      <w:r>
        <w:separator/>
      </w:r>
    </w:p>
  </w:footnote>
  <w:footnote w:type="continuationSeparator" w:id="0">
    <w:p w:rsidR="004C76F1" w:rsidRDefault="004C76F1" w:rsidP="004C7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F1" w:rsidRDefault="00903810" w:rsidP="00903810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7B9D6E" wp14:editId="7D534A1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3086734" cy="79057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734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3810" w:rsidRPr="00903810" w:rsidRDefault="00903810" w:rsidP="00903810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28"/>
                              <w:szCs w:val="28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67000"/>
                                  <w14:shade w14:val="5000"/>
                                  <w14:satMod w14:val="120000"/>
                                </w14:srgbClr>
                              </w14:shadow>
                              <w14:textOutline w14:w="15773" w14:cap="flat" w14:cmpd="sng" w14:algn="ctr">
                                <w14:gradFill>
                                  <w14:gsLst>
                                    <w14:gs w14:pos="70000">
                                      <w14:schemeClr w14:val="accent6">
                                        <w14:shade w14:val="50000"/>
                                        <w14:satMod w14:val="190000"/>
                                      </w14:schemeClr>
                                    </w14:gs>
                                    <w14:gs w14:pos="0">
                                      <w14:schemeClr w14:val="accent6">
                                        <w14:tint w14:val="77000"/>
                                        <w14:satMod w14:val="1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903810">
                            <w:rPr>
                              <w:b/>
                              <w:color w:val="E36C0A" w:themeColor="accent6" w:themeShade="BF"/>
                              <w:sz w:val="28"/>
                              <w:szCs w:val="28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67000"/>
                                  <w14:shade w14:val="5000"/>
                                  <w14:satMod w14:val="120000"/>
                                </w14:srgbClr>
                              </w14:shadow>
                              <w14:textOutline w14:w="15773" w14:cap="flat" w14:cmpd="sng" w14:algn="ctr">
                                <w14:gradFill>
                                  <w14:gsLst>
                                    <w14:gs w14:pos="70000">
                                      <w14:schemeClr w14:val="accent6">
                                        <w14:shade w14:val="50000"/>
                                        <w14:satMod w14:val="190000"/>
                                      </w14:schemeClr>
                                    </w14:gs>
                                    <w14:gs w14:pos="0">
                                      <w14:schemeClr w14:val="accent6">
                                        <w14:tint w14:val="77000"/>
                                        <w14:satMod w14:val="1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</w:rPr>
                            <w:t>Electronic Table of Contents (ETOCS)</w:t>
                          </w:r>
                        </w:p>
                        <w:p w:rsidR="00903810" w:rsidRPr="00903810" w:rsidRDefault="00903810" w:rsidP="00903810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28"/>
                              <w:szCs w:val="28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95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03810">
                            <w:rPr>
                              <w:b/>
                              <w:color w:val="E36C0A" w:themeColor="accent6" w:themeShade="BF"/>
                              <w:sz w:val="28"/>
                              <w:szCs w:val="28"/>
                              <w14:shadow w14:blurRad="50800" w14:dist="40005" w14:dir="5400000" w14:sx="100000" w14:sy="100000" w14:kx="0" w14:ky="0" w14:algn="tl">
                                <w14:srgbClr w14:val="000000">
                                  <w14:alpha w14:val="67000"/>
                                  <w14:shade w14:val="5000"/>
                                  <w14:satMod w14:val="120000"/>
                                </w14:srgbClr>
                              </w14:shadow>
                              <w14:textOutline w14:w="15773" w14:cap="flat" w14:cmpd="sng" w14:algn="ctr">
                                <w14:gradFill>
                                  <w14:gsLst>
                                    <w14:gs w14:pos="70000">
                                      <w14:schemeClr w14:val="accent6">
                                        <w14:shade w14:val="50000"/>
                                        <w14:satMod w14:val="190000"/>
                                      </w14:schemeClr>
                                    </w14:gs>
                                    <w14:gs w14:pos="0">
                                      <w14:schemeClr w14:val="accent6">
                                        <w14:tint w14:val="77000"/>
                                        <w14:satMod w14:val="18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</w:rPr>
                            <w:t>Sign up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43.05pt;height:62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" stroked="f">
              <v:textbox>
                <w:txbxContent>
                  <w:p w:rsidR="00903810" w:rsidRPr="00903810" w:rsidRDefault="00903810" w:rsidP="00903810">
                    <w:pPr>
                      <w:jc w:val="center"/>
                      <w:rPr>
                        <w:b/>
                        <w:color w:val="E36C0A" w:themeColor="accent6" w:themeShade="BF"/>
                        <w:sz w:val="28"/>
                        <w:szCs w:val="28"/>
                        <w14:shadow w14:blurRad="50800" w14:dist="40005" w14:dir="5400000" w14:sx="100000" w14:sy="100000" w14:kx="0" w14:ky="0" w14:algn="tl">
                          <w14:srgbClr w14:val="000000">
                            <w14:alpha w14:val="67000"/>
                            <w14:shade w14:val="5000"/>
                            <w14:satMod w14:val="120000"/>
                          </w14:srgbClr>
                        </w14:shadow>
                        <w14:textOutline w14:w="15773" w14:cap="flat" w14:cmpd="sng" w14:algn="ctr">
                          <w14:gradFill>
                            <w14:gsLst>
                              <w14:gs w14:pos="70000">
                                <w14:schemeClr w14:val="accent6">
                                  <w14:shade w14:val="50000"/>
                                  <w14:satMod w14:val="190000"/>
                                </w14:schemeClr>
                              </w14:gs>
                              <w14:gs w14:pos="0">
                                <w14:schemeClr w14:val="accent6">
                                  <w14:tint w14:val="77000"/>
                                  <w14:satMod w14:val="18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</w:rPr>
                    </w:pPr>
                    <w:r w:rsidRPr="00903810">
                      <w:rPr>
                        <w:b/>
                        <w:color w:val="E36C0A" w:themeColor="accent6" w:themeShade="BF"/>
                        <w:sz w:val="28"/>
                        <w:szCs w:val="28"/>
                        <w14:shadow w14:blurRad="50800" w14:dist="40005" w14:dir="5400000" w14:sx="100000" w14:sy="100000" w14:kx="0" w14:ky="0" w14:algn="tl">
                          <w14:srgbClr w14:val="000000">
                            <w14:alpha w14:val="67000"/>
                            <w14:shade w14:val="5000"/>
                            <w14:satMod w14:val="120000"/>
                          </w14:srgbClr>
                        </w14:shadow>
                        <w14:textOutline w14:w="15773" w14:cap="flat" w14:cmpd="sng" w14:algn="ctr">
                          <w14:gradFill>
                            <w14:gsLst>
                              <w14:gs w14:pos="70000">
                                <w14:schemeClr w14:val="accent6">
                                  <w14:shade w14:val="50000"/>
                                  <w14:satMod w14:val="190000"/>
                                </w14:schemeClr>
                              </w14:gs>
                              <w14:gs w14:pos="0">
                                <w14:schemeClr w14:val="accent6">
                                  <w14:tint w14:val="77000"/>
                                  <w14:satMod w14:val="18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</w:rPr>
                      <w:t>Electronic Table of Contents (ETOCS)</w:t>
                    </w:r>
                  </w:p>
                  <w:p w:rsidR="00903810" w:rsidRPr="00903810" w:rsidRDefault="00903810" w:rsidP="00903810">
                    <w:pPr>
                      <w:jc w:val="center"/>
                      <w:rPr>
                        <w:b/>
                        <w:color w:val="E36C0A" w:themeColor="accent6" w:themeShade="BF"/>
                        <w:sz w:val="28"/>
                        <w:szCs w:val="28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95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03810">
                      <w:rPr>
                        <w:b/>
                        <w:color w:val="E36C0A" w:themeColor="accent6" w:themeShade="BF"/>
                        <w:sz w:val="28"/>
                        <w:szCs w:val="28"/>
                        <w14:shadow w14:blurRad="50800" w14:dist="40005" w14:dir="5400000" w14:sx="100000" w14:sy="100000" w14:kx="0" w14:ky="0" w14:algn="tl">
                          <w14:srgbClr w14:val="000000">
                            <w14:alpha w14:val="67000"/>
                            <w14:shade w14:val="5000"/>
                            <w14:satMod w14:val="120000"/>
                          </w14:srgbClr>
                        </w14:shadow>
                        <w14:textOutline w14:w="15773" w14:cap="flat" w14:cmpd="sng" w14:algn="ctr">
                          <w14:gradFill>
                            <w14:gsLst>
                              <w14:gs w14:pos="70000">
                                <w14:schemeClr w14:val="accent6">
                                  <w14:shade w14:val="50000"/>
                                  <w14:satMod w14:val="190000"/>
                                </w14:schemeClr>
                              </w14:gs>
                              <w14:gs w14:pos="0">
                                <w14:schemeClr w14:val="accent6">
                                  <w14:tint w14:val="77000"/>
                                  <w14:satMod w14:val="18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</w:rPr>
                      <w:t>Sign up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7F4F53D6" wp14:editId="21502B29">
          <wp:extent cx="952500" cy="841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 library logo 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811" cy="8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F1"/>
    <w:rsid w:val="001C1E6A"/>
    <w:rsid w:val="003B3A05"/>
    <w:rsid w:val="004833E2"/>
    <w:rsid w:val="004C76F1"/>
    <w:rsid w:val="00903810"/>
    <w:rsid w:val="00AF3AC3"/>
    <w:rsid w:val="00BB005C"/>
    <w:rsid w:val="00C03215"/>
    <w:rsid w:val="00D95887"/>
    <w:rsid w:val="00DC1911"/>
    <w:rsid w:val="00F50581"/>
    <w:rsid w:val="00FD586F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F1"/>
  </w:style>
  <w:style w:type="paragraph" w:styleId="Footer">
    <w:name w:val="footer"/>
    <w:basedOn w:val="Normal"/>
    <w:link w:val="FooterChar"/>
    <w:uiPriority w:val="99"/>
    <w:unhideWhenUsed/>
    <w:rsid w:val="004C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F1"/>
  </w:style>
  <w:style w:type="paragraph" w:styleId="BalloonText">
    <w:name w:val="Balloon Text"/>
    <w:basedOn w:val="Normal"/>
    <w:link w:val="BalloonTextChar"/>
    <w:uiPriority w:val="99"/>
    <w:semiHidden/>
    <w:unhideWhenUsed/>
    <w:rsid w:val="0090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6F1"/>
  </w:style>
  <w:style w:type="paragraph" w:styleId="Footer">
    <w:name w:val="footer"/>
    <w:basedOn w:val="Normal"/>
    <w:link w:val="FooterChar"/>
    <w:uiPriority w:val="99"/>
    <w:unhideWhenUsed/>
    <w:rsid w:val="004C76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6F1"/>
  </w:style>
  <w:style w:type="paragraph" w:styleId="BalloonText">
    <w:name w:val="Balloon Text"/>
    <w:basedOn w:val="Normal"/>
    <w:link w:val="BalloonTextChar"/>
    <w:uiPriority w:val="99"/>
    <w:semiHidden/>
    <w:unhideWhenUsed/>
    <w:rsid w:val="0090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Cheshire NHS Trust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2015-12-02T12:43:00Z</cp:lastPrinted>
  <dcterms:created xsi:type="dcterms:W3CDTF">2015-09-30T10:16:00Z</dcterms:created>
  <dcterms:modified xsi:type="dcterms:W3CDTF">2015-12-02T12:43:00Z</dcterms:modified>
</cp:coreProperties>
</file>